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B2E11" w14:textId="77777777" w:rsidR="00EF5176" w:rsidRDefault="00EF5176" w:rsidP="00EF5176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FFFFFF" w:themeColor="background1"/>
          <w:kern w:val="36"/>
          <w:sz w:val="32"/>
          <w:szCs w:val="32"/>
          <w:lang w:eastAsia="pl-PL"/>
          <w14:ligatures w14:val="none"/>
        </w:rPr>
      </w:pPr>
      <w:r>
        <w:rPr>
          <w:rFonts w:eastAsia="Times New Roman" w:cstheme="minorHAnsi"/>
          <w:color w:val="FFFFFF" w:themeColor="background1"/>
          <w:kern w:val="36"/>
          <w:sz w:val="48"/>
          <w:szCs w:val="48"/>
          <w:highlight w:val="darkGray"/>
          <w:lang w:eastAsia="pl-PL"/>
          <w14:ligatures w14:val="none"/>
        </w:rPr>
        <w:t>PRO</w:t>
      </w:r>
      <w:r>
        <w:rPr>
          <w:rFonts w:eastAsia="Times New Roman" w:cstheme="minorHAnsi"/>
          <w:b/>
          <w:bCs/>
          <w:color w:val="FFFFFF" w:themeColor="background1"/>
          <w:kern w:val="36"/>
          <w:sz w:val="48"/>
          <w:szCs w:val="48"/>
          <w:highlight w:val="darkGray"/>
          <w:lang w:eastAsia="pl-PL"/>
          <w14:ligatures w14:val="none"/>
        </w:rPr>
        <w:t>VAG</w:t>
      </w:r>
      <w:r>
        <w:rPr>
          <w:rFonts w:eastAsia="Times New Roman" w:cstheme="minorHAnsi"/>
          <w:color w:val="FFFFFF" w:themeColor="background1"/>
          <w:kern w:val="36"/>
          <w:sz w:val="48"/>
          <w:szCs w:val="48"/>
          <w:highlight w:val="darkGray"/>
          <w:lang w:eastAsia="pl-PL"/>
          <w14:ligatures w14:val="none"/>
        </w:rPr>
        <w:t xml:space="preserve"> </w:t>
      </w:r>
      <w:r>
        <w:rPr>
          <w:rFonts w:eastAsia="Times New Roman" w:cstheme="minorHAnsi"/>
          <w:b/>
          <w:bCs/>
          <w:color w:val="FFFFFF" w:themeColor="background1"/>
          <w:kern w:val="36"/>
          <w:sz w:val="32"/>
          <w:szCs w:val="32"/>
          <w:highlight w:val="darkGray"/>
          <w:lang w:eastAsia="pl-PL"/>
          <w14:ligatures w14:val="none"/>
        </w:rPr>
        <w:t>EMULSJA</w:t>
      </w:r>
    </w:p>
    <w:p w14:paraId="22834AC6" w14:textId="77777777" w:rsidR="00EF5176" w:rsidRDefault="00EF5176" w:rsidP="00EF5176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color w:val="FFFFFF" w:themeColor="background1"/>
          <w:kern w:val="36"/>
          <w:sz w:val="48"/>
          <w:szCs w:val="48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FFFFFF" w:themeColor="background1"/>
          <w:kern w:val="36"/>
          <w:sz w:val="32"/>
          <w:szCs w:val="32"/>
          <w:highlight w:val="darkGray"/>
          <w:lang w:eastAsia="pl-PL"/>
          <w14:ligatures w14:val="none"/>
        </w:rPr>
        <w:t>150 ml, 300 ml</w:t>
      </w:r>
    </w:p>
    <w:p w14:paraId="21D84681" w14:textId="77777777" w:rsidR="00EF5176" w:rsidRDefault="00EF5176" w:rsidP="00EF5176">
      <w:pPr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Emulsja PRO</w:t>
      </w:r>
      <w:r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pl-PL"/>
          <w14:ligatures w14:val="none"/>
        </w:rPr>
        <w:t>VAG</w:t>
      </w:r>
      <w:r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®: oczyszcza + chroni + pielęgnuje okolice intymne.</w:t>
      </w:r>
    </w:p>
    <w:p w14:paraId="01157BAA" w14:textId="15220C9B" w:rsidR="00EF5176" w:rsidRDefault="00EF5176" w:rsidP="00EF5176">
      <w:pPr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PRO</w:t>
      </w:r>
      <w:r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pl-PL"/>
          <w14:ligatures w14:val="none"/>
        </w:rPr>
        <w:t>VAG</w:t>
      </w:r>
      <w:r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® emulsja to specjalistyczna, hipoalergiczna emulsja do higieny intymnej dla kobiet, dzieci (po ukończeniu 1. roku życia), alergików. Pomaga zapobiegać problemom intymnym, delikatnie myje i pielęgnuje, łagodzi podrażnienia, nawilża, przyspiesza regenerację, eliminuje nieprzyjemne zapachy. Wykazuje działanie hamujące rozwój niekorzystnych drobnoustrojów, przy jednoczesnej promocji wzrostu dobroczynnych </w:t>
      </w:r>
      <w:proofErr w:type="spellStart"/>
      <w:r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Lactobacillus</w:t>
      </w:r>
      <w:proofErr w:type="spellEnd"/>
      <w:r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. Polecana jest szczególnie dla: alergików, kobiet podatnych na nawracające problemy układu moczowo-płciowego, kobiet ciężar</w:t>
      </w:r>
      <w:r w:rsidR="007A06C2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nych, w połogu czy w menopauzie, a także dzieci powyżej 1 roku życia.</w:t>
      </w:r>
    </w:p>
    <w:p w14:paraId="3035D019" w14:textId="564A46F0" w:rsidR="00EF5176" w:rsidRDefault="00EF5176" w:rsidP="00EF5176">
      <w:pPr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PRO</w:t>
      </w:r>
      <w:r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pl-PL"/>
          <w14:ligatures w14:val="none"/>
        </w:rPr>
        <w:t>VAG</w:t>
      </w:r>
      <w:r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® emulsję wyróżnia obecność naturalnych i wyjątkowo delikatnych składników myjących oraz aktywnych metabolitów </w:t>
      </w:r>
      <w:proofErr w:type="spellStart"/>
      <w:r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Lactobacillus</w:t>
      </w:r>
      <w:proofErr w:type="spellEnd"/>
      <w:r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. Bakterie te są nieodłącznym składnikiem prawidłowej mikroflory pochwy i stanowią naturalną barierę ochronną okolic intymnych.</w:t>
      </w:r>
      <w:r w:rsidR="007A06C2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 xml:space="preserve"> To produkt z aktywnym kompleksem </w:t>
      </w:r>
      <w:proofErr w:type="spellStart"/>
      <w:r w:rsidR="007A06C2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postbiotycznym</w:t>
      </w:r>
      <w:proofErr w:type="spellEnd"/>
      <w:r w:rsidR="007A06C2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 xml:space="preserve"> do codziennej pielęgnacji i higieny okolic intymnych.</w:t>
      </w:r>
      <w:bookmarkStart w:id="0" w:name="_GoBack"/>
      <w:bookmarkEnd w:id="0"/>
    </w:p>
    <w:p w14:paraId="40C65F86" w14:textId="77777777" w:rsidR="0082359B" w:rsidRDefault="0082359B"/>
    <w:sectPr w:rsidR="0082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E3"/>
    <w:rsid w:val="007A06C2"/>
    <w:rsid w:val="0082359B"/>
    <w:rsid w:val="00C172E3"/>
    <w:rsid w:val="00E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D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2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2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Zawislak</dc:creator>
  <cp:keywords/>
  <dc:description/>
  <cp:lastModifiedBy>Agnieszka Duda</cp:lastModifiedBy>
  <cp:revision>4</cp:revision>
  <dcterms:created xsi:type="dcterms:W3CDTF">2024-01-11T12:16:00Z</dcterms:created>
  <dcterms:modified xsi:type="dcterms:W3CDTF">2024-01-16T12:24:00Z</dcterms:modified>
</cp:coreProperties>
</file>